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особенности ценообразования на рынке (по направлениям)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экономические основы ценообразования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формировать начальную (максимальную) цену контракта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определять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533.6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и обоснование начальной (максимальной)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контракта, в том числе заключаемого с единственным поставщиком (подрядчиком, исполнителем)</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096.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маркетинговых коммуникаций: реклама, личные продажи, продвижение продаж, паблик рилейшнз.</w:t>
            </w:r>
          </w:p>
          <w:p>
            <w:pPr>
              <w:jc w:val="both"/>
              <w:spacing w:after="0" w:line="240" w:lineRule="auto"/>
              <w:rPr>
                <w:sz w:val="24"/>
                <w:szCs w:val="24"/>
              </w:rPr>
            </w:pPr>
            <w:r>
              <w:rPr>
                <w:rFonts w:ascii="Times New Roman" w:hAnsi="Times New Roman" w:cs="Times New Roman"/>
                <w:color w:val="#000000"/>
                <w:sz w:val="24"/>
                <w:szCs w:val="24"/>
              </w:rPr>
              <w:t> 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pPr>
              <w:jc w:val="both"/>
              <w:spacing w:after="0" w:line="240" w:lineRule="auto"/>
              <w:rPr>
                <w:sz w:val="24"/>
                <w:szCs w:val="24"/>
              </w:rPr>
            </w:pPr>
            <w:r>
              <w:rPr>
                <w:rFonts w:ascii="Times New Roman" w:hAnsi="Times New Roman" w:cs="Times New Roman"/>
                <w:color w:val="#000000"/>
                <w:sz w:val="24"/>
                <w:szCs w:val="24"/>
              </w:rPr>
              <w:t> 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товара. Отличительные особенности услуги. Конкурентоспособность продукции. Марка товара.</w:t>
            </w:r>
          </w:p>
          <w:p>
            <w:pPr>
              <w:jc w:val="both"/>
              <w:spacing w:after="0" w:line="240" w:lineRule="auto"/>
              <w:rPr>
                <w:sz w:val="24"/>
                <w:szCs w:val="24"/>
              </w:rPr>
            </w:pPr>
            <w:r>
              <w:rPr>
                <w:rFonts w:ascii="Times New Roman" w:hAnsi="Times New Roman" w:cs="Times New Roman"/>
                <w:color w:val="#000000"/>
                <w:sz w:val="24"/>
                <w:szCs w:val="24"/>
              </w:rPr>
              <w:t> Основные потребительские свойства товара.</w:t>
            </w:r>
          </w:p>
          <w:p>
            <w:pPr>
              <w:jc w:val="both"/>
              <w:spacing w:after="0" w:line="240" w:lineRule="auto"/>
              <w:rPr>
                <w:sz w:val="24"/>
                <w:szCs w:val="24"/>
              </w:rPr>
            </w:pPr>
            <w:r>
              <w:rPr>
                <w:rFonts w:ascii="Times New Roman" w:hAnsi="Times New Roman" w:cs="Times New Roman"/>
                <w:color w:val="#000000"/>
                <w:sz w:val="24"/>
                <w:szCs w:val="24"/>
              </w:rPr>
              <w:t> Классификация товаров по их роли в маркетинге.</w:t>
            </w:r>
          </w:p>
          <w:p>
            <w:pPr>
              <w:jc w:val="both"/>
              <w:spacing w:after="0" w:line="240" w:lineRule="auto"/>
              <w:rPr>
                <w:sz w:val="24"/>
                <w:szCs w:val="24"/>
              </w:rPr>
            </w:pPr>
            <w:r>
              <w:rPr>
                <w:rFonts w:ascii="Times New Roman" w:hAnsi="Times New Roman" w:cs="Times New Roman"/>
                <w:color w:val="#000000"/>
                <w:sz w:val="24"/>
                <w:szCs w:val="24"/>
              </w:rPr>
              <w:t> Концепция продукта.</w:t>
            </w:r>
          </w:p>
          <w:p>
            <w:pPr>
              <w:jc w:val="both"/>
              <w:spacing w:after="0" w:line="240" w:lineRule="auto"/>
              <w:rPr>
                <w:sz w:val="24"/>
                <w:szCs w:val="24"/>
              </w:rPr>
            </w:pPr>
            <w:r>
              <w:rPr>
                <w:rFonts w:ascii="Times New Roman" w:hAnsi="Times New Roman" w:cs="Times New Roman"/>
                <w:color w:val="#000000"/>
                <w:sz w:val="24"/>
                <w:szCs w:val="24"/>
              </w:rPr>
              <w:t> Товарная и инновационная политика фирмы.</w:t>
            </w:r>
          </w:p>
          <w:p>
            <w:pPr>
              <w:jc w:val="both"/>
              <w:spacing w:after="0" w:line="240" w:lineRule="auto"/>
              <w:rPr>
                <w:sz w:val="24"/>
                <w:szCs w:val="24"/>
              </w:rPr>
            </w:pPr>
            <w:r>
              <w:rPr>
                <w:rFonts w:ascii="Times New Roman" w:hAnsi="Times New Roman" w:cs="Times New Roman"/>
                <w:color w:val="#000000"/>
                <w:sz w:val="24"/>
                <w:szCs w:val="24"/>
              </w:rPr>
              <w:t> Жизненный цикл продукта и особенности маркетинга по стадиям.</w:t>
            </w:r>
          </w:p>
          <w:p>
            <w:pPr>
              <w:jc w:val="both"/>
              <w:spacing w:after="0" w:line="240" w:lineRule="auto"/>
              <w:rPr>
                <w:sz w:val="24"/>
                <w:szCs w:val="24"/>
              </w:rPr>
            </w:pPr>
            <w:r>
              <w:rPr>
                <w:rFonts w:ascii="Times New Roman" w:hAnsi="Times New Roman" w:cs="Times New Roman"/>
                <w:color w:val="#000000"/>
                <w:sz w:val="24"/>
                <w:szCs w:val="24"/>
              </w:rPr>
              <w:t> 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pPr>
              <w:jc w:val="both"/>
              <w:spacing w:after="0" w:line="240" w:lineRule="auto"/>
              <w:rPr>
                <w:sz w:val="24"/>
                <w:szCs w:val="24"/>
              </w:rPr>
            </w:pPr>
            <w:r>
              <w:rPr>
                <w:rFonts w:ascii="Times New Roman" w:hAnsi="Times New Roman" w:cs="Times New Roman"/>
                <w:color w:val="#000000"/>
                <w:sz w:val="24"/>
                <w:szCs w:val="24"/>
              </w:rPr>
              <w:t> Формы взаимного сотрудничества участников товародвижения. Дистрибьюция и ее 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маркетинговой службы предприятия</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Маркетинговая среда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Маркетинговые исследования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Сегментирование рынка</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ценовой политики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Товарная политика, товародвижение и дистрибьюция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маркетинга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https://urait.ru/bcode/467017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https://urait.ru/bcode/450528</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Касаев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Сальникова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978-5-9916-8852-9.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https://urait.ru/bcode/451920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978-5-534-05818-5.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https://urait.ru/bcode/449789</w:t>
            </w:r>
            <w:r>
              <w:rPr/>
              <w:t xml:space="preserve"> </w:t>
            </w:r>
          </w:p>
        </w:tc>
      </w:tr>
      <w:tr>
        <w:trPr>
          <w:trHeight w:hRule="exact" w:val="801.296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Лукичёва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Остапенко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Пецольдт</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Молчанов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https://urait.ru/bcode/450620</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https://urait.ru/bcode/445444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00.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15.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403.075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2023-2024_ФГОС3++2023_Бак-ЗФО-Мен_(ЛиУЗ)(23)_plx_Маркетинг</dc:title>
  <dc:creator>FastReport.NET</dc:creator>
</cp:coreProperties>
</file>